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5C8DC" w14:textId="77777777" w:rsidR="00D50C16" w:rsidRDefault="00D50C16" w:rsidP="006A73D9">
      <w:pPr>
        <w:jc w:val="both"/>
        <w:rPr>
          <w:rFonts w:ascii="Arial" w:hAnsi="Arial" w:cs="Arial"/>
          <w:b/>
          <w:bCs/>
          <w:color w:val="ED7D31" w:themeColor="accent2"/>
          <w:sz w:val="20"/>
          <w:szCs w:val="20"/>
        </w:rPr>
      </w:pPr>
    </w:p>
    <w:p w14:paraId="7CFA02DD" w14:textId="77777777" w:rsidR="0069378C" w:rsidRPr="0069378C" w:rsidRDefault="0069378C" w:rsidP="0069378C">
      <w:pPr>
        <w:jc w:val="both"/>
        <w:rPr>
          <w:rFonts w:ascii="Arial" w:hAnsi="Arial" w:cs="Arial"/>
          <w:b/>
          <w:bCs/>
          <w:kern w:val="0"/>
          <w:sz w:val="18"/>
          <w:szCs w:val="18"/>
          <w14:ligatures w14:val="none"/>
        </w:rPr>
      </w:pPr>
      <w:r w:rsidRPr="0069378C">
        <w:rPr>
          <w:rFonts w:ascii="Arial" w:hAnsi="Arial" w:cs="Arial"/>
          <w:b/>
          <w:bCs/>
          <w:kern w:val="0"/>
          <w:sz w:val="18"/>
          <w:szCs w:val="18"/>
          <w14:ligatures w14:val="none"/>
        </w:rPr>
        <w:t>10 years of partnership between ÖBB and Thies CLIMA: A look back at precision and reliability!</w:t>
      </w:r>
    </w:p>
    <w:p w14:paraId="1E4CE30E" w14:textId="77777777" w:rsidR="0069378C" w:rsidRPr="0069378C" w:rsidRDefault="0069378C" w:rsidP="0069378C">
      <w:pPr>
        <w:jc w:val="both"/>
        <w:rPr>
          <w:rFonts w:ascii="Arial" w:hAnsi="Arial" w:cs="Arial"/>
          <w:b/>
          <w:bCs/>
          <w:kern w:val="0"/>
          <w:sz w:val="18"/>
          <w:szCs w:val="18"/>
          <w14:ligatures w14:val="none"/>
        </w:rPr>
      </w:pPr>
    </w:p>
    <w:p w14:paraId="06AF52DA" w14:textId="77777777" w:rsidR="0069378C" w:rsidRPr="0069378C" w:rsidRDefault="0069378C" w:rsidP="0069378C">
      <w:pPr>
        <w:jc w:val="both"/>
        <w:rPr>
          <w:rFonts w:ascii="Arial" w:hAnsi="Arial" w:cs="Arial"/>
          <w:kern w:val="0"/>
          <w:sz w:val="18"/>
          <w:szCs w:val="18"/>
          <w14:ligatures w14:val="none"/>
        </w:rPr>
      </w:pPr>
      <w:r w:rsidRPr="0069378C">
        <w:rPr>
          <w:rFonts w:ascii="Arial" w:hAnsi="Arial" w:cs="Arial"/>
          <w:kern w:val="0"/>
          <w:sz w:val="18"/>
          <w:szCs w:val="18"/>
          <w14:ligatures w14:val="none"/>
        </w:rPr>
        <w:t>January, 2024 - 10 years of Thies CLIMA weather stations in the ÖBB measuring network: The Austrian Federal Railways (ÖBB) and the German company Thies CLIMA can look back on 10 years of partnership. Together they have expanded the meteorological measuring network of ÖBB-Infrastruktur AG across the board, now with 33 automatic weather stations at particularly critical locations along the ÖBB rail network, with the latest station being installed at the Semmering Wolfsbergkogel site.</w:t>
      </w:r>
    </w:p>
    <w:p w14:paraId="0F0A229B" w14:textId="77777777" w:rsidR="0069378C" w:rsidRPr="0069378C" w:rsidRDefault="0069378C" w:rsidP="0069378C">
      <w:pPr>
        <w:jc w:val="both"/>
        <w:rPr>
          <w:rFonts w:ascii="Arial" w:hAnsi="Arial" w:cs="Arial"/>
          <w:kern w:val="0"/>
          <w:sz w:val="18"/>
          <w:szCs w:val="18"/>
          <w14:ligatures w14:val="none"/>
        </w:rPr>
      </w:pPr>
    </w:p>
    <w:p w14:paraId="1BC5068A" w14:textId="77777777" w:rsidR="0069378C" w:rsidRPr="0069378C" w:rsidRDefault="0069378C" w:rsidP="0069378C">
      <w:pPr>
        <w:jc w:val="both"/>
        <w:rPr>
          <w:rFonts w:ascii="Arial" w:hAnsi="Arial" w:cs="Arial"/>
          <w:kern w:val="0"/>
          <w:sz w:val="18"/>
          <w:szCs w:val="18"/>
          <w14:ligatures w14:val="none"/>
        </w:rPr>
      </w:pPr>
      <w:r w:rsidRPr="0069378C">
        <w:rPr>
          <w:rFonts w:ascii="Arial" w:hAnsi="Arial" w:cs="Arial"/>
          <w:kern w:val="0"/>
          <w:sz w:val="18"/>
          <w:szCs w:val="18"/>
          <w14:ligatures w14:val="none"/>
        </w:rPr>
        <w:t>ÖBB has been operating a comprehensive weather warning system since 2005, which is used, among other things, for the early detection of natural hazards such as avalanches, debris flows and heavy rainfall events. The probability of these events can be predicted using models based on locally recorded weather data. In this way, the weather stations contribute to the early detection of hazards and help to ensure uninterrupted rail operations. After initially only operating so-called high mountain weather stations at alpine locations, an EU-wide tender for additional basic weather stations for installation in the immediate vicinity of the tracks and at particularly neuralgic points such as in front of tunnels and bridges followed in 2012. Thies CLIMA was awarded the contract by ÖBB-Infrastruktur AG with a bid that was convincing in terms of technology, quality and ultimately also price.</w:t>
      </w:r>
    </w:p>
    <w:p w14:paraId="2B9E8691" w14:textId="77777777" w:rsidR="0069378C" w:rsidRDefault="0069378C" w:rsidP="006A73D9">
      <w:pPr>
        <w:jc w:val="both"/>
        <w:rPr>
          <w:rFonts w:ascii="Arial" w:hAnsi="Arial" w:cs="Arial"/>
          <w:kern w:val="0"/>
          <w:sz w:val="18"/>
          <w:szCs w:val="18"/>
          <w14:ligatures w14:val="none"/>
        </w:rPr>
      </w:pPr>
      <w:r w:rsidRPr="0069378C">
        <w:rPr>
          <w:rFonts w:ascii="Arial" w:hAnsi="Arial" w:cs="Arial"/>
          <w:kern w:val="0"/>
          <w:sz w:val="18"/>
          <w:szCs w:val="18"/>
          <w14:ligatures w14:val="none"/>
        </w:rPr>
        <w:t>These basic weather stations are equipped with a comprehensive range of sensors, such as ultrasonic anemometers, sunshine duration sensors, pyranometers, snow depth sensors, hygro-thermo sensors, laser precipitation monitors, rain monitors, precipitation sensors and temperature sensors. The stations are also equipped with data loggers, a complete data management system and a comprehensive range of accessories. Thies CLIMA products are characterized by their precision, reliability and robustness. Seamless data compatibility with the existing network ensures that the data is provided reliably and quickly in the central database for further processing. Another component is the accompanying maintenance contract, which is implemented by Thies CLIMAʻs sister company, Thies Systems. This ensures continuous compliance with the high quality standards. The qualified team, trained in accordance with the employee protection standards specifically required in the railroad environment, maintains the existing network and implements the installation of new stations.</w:t>
      </w:r>
    </w:p>
    <w:p w14:paraId="6B99A4C3" w14:textId="77777777" w:rsidR="0069378C" w:rsidRDefault="0069378C" w:rsidP="006A73D9">
      <w:pPr>
        <w:jc w:val="both"/>
        <w:rPr>
          <w:rFonts w:ascii="Arial" w:hAnsi="Arial" w:cs="Arial"/>
          <w:kern w:val="0"/>
          <w:sz w:val="18"/>
          <w:szCs w:val="18"/>
          <w14:ligatures w14:val="none"/>
        </w:rPr>
      </w:pPr>
      <w:r w:rsidRPr="0069378C">
        <w:rPr>
          <w:rFonts w:ascii="Arial" w:hAnsi="Arial" w:cs="Arial"/>
          <w:kern w:val="0"/>
          <w:sz w:val="18"/>
          <w:szCs w:val="18"/>
          <w14:ligatures w14:val="none"/>
        </w:rPr>
        <w:t>ÖBB-Infrastruktur AG strategically planned and designed the basic weather station network in detail in collaboration with meteorologists. The decision to implement this measuring network proved to be the right one back in 2013, when the country was hit by a devastating flood. Thanks to the weather data provided in real time, it was possible to close railroad lines in good time for safety reasons and prevent damage to people and vehicles. Since then, the weather station network has been systematically supplemented and expanded in a proven partnership.</w:t>
      </w:r>
    </w:p>
    <w:p w14:paraId="33006DB7" w14:textId="77777777" w:rsidR="0069378C" w:rsidRDefault="0069378C" w:rsidP="006A73D9">
      <w:pPr>
        <w:jc w:val="both"/>
        <w:rPr>
          <w:rFonts w:ascii="Arial" w:hAnsi="Arial" w:cs="Arial"/>
          <w:kern w:val="0"/>
          <w:sz w:val="18"/>
          <w:szCs w:val="18"/>
          <w14:ligatures w14:val="none"/>
        </w:rPr>
      </w:pPr>
    </w:p>
    <w:p w14:paraId="19AD1C3C" w14:textId="77777777" w:rsidR="0069378C" w:rsidRPr="0069378C" w:rsidRDefault="0069378C" w:rsidP="0069378C">
      <w:pPr>
        <w:jc w:val="both"/>
        <w:rPr>
          <w:rFonts w:ascii="Arial" w:hAnsi="Arial" w:cs="Arial"/>
          <w:b/>
          <w:bCs/>
          <w:kern w:val="0"/>
          <w:sz w:val="18"/>
          <w:szCs w:val="18"/>
          <w14:ligatures w14:val="none"/>
        </w:rPr>
      </w:pPr>
      <w:r w:rsidRPr="0069378C">
        <w:rPr>
          <w:rFonts w:ascii="Arial" w:hAnsi="Arial" w:cs="Arial"/>
          <w:b/>
          <w:bCs/>
          <w:kern w:val="0"/>
          <w:sz w:val="18"/>
          <w:szCs w:val="18"/>
          <w14:ligatures w14:val="none"/>
        </w:rPr>
        <w:t>Voices from the partnership:</w:t>
      </w:r>
    </w:p>
    <w:p w14:paraId="2120E657" w14:textId="77777777" w:rsidR="0069378C" w:rsidRPr="0069378C" w:rsidRDefault="0069378C" w:rsidP="0069378C">
      <w:pPr>
        <w:jc w:val="both"/>
        <w:rPr>
          <w:rFonts w:ascii="Arial" w:hAnsi="Arial" w:cs="Arial"/>
          <w:kern w:val="0"/>
          <w:sz w:val="18"/>
          <w:szCs w:val="18"/>
          <w14:ligatures w14:val="none"/>
        </w:rPr>
      </w:pPr>
      <w:r w:rsidRPr="0069378C">
        <w:rPr>
          <w:rFonts w:ascii="Arial" w:hAnsi="Arial" w:cs="Arial"/>
          <w:kern w:val="0"/>
          <w:sz w:val="18"/>
          <w:szCs w:val="18"/>
          <w14:ligatures w14:val="none"/>
        </w:rPr>
        <w:t>Fö Ing. Herbert Kupka (Route Management and System Development, ÖBB-Infrastruktur AG): "Thies CLIMA has proven to be a reliable, future-proof and innovative partner."</w:t>
      </w:r>
    </w:p>
    <w:p w14:paraId="532F98D5" w14:textId="3E5C70C1" w:rsidR="00F05B07" w:rsidRPr="0069378C" w:rsidRDefault="0069378C" w:rsidP="0069378C">
      <w:pPr>
        <w:jc w:val="both"/>
        <w:rPr>
          <w:rFonts w:ascii="Arial" w:hAnsi="Arial" w:cs="Arial"/>
          <w:kern w:val="0"/>
          <w:sz w:val="18"/>
          <w:szCs w:val="18"/>
          <w14:ligatures w14:val="none"/>
        </w:rPr>
      </w:pPr>
      <w:r w:rsidRPr="0069378C">
        <w:rPr>
          <w:rFonts w:ascii="Arial" w:hAnsi="Arial" w:cs="Arial"/>
          <w:kern w:val="0"/>
          <w:sz w:val="18"/>
          <w:szCs w:val="18"/>
          <w14:ligatures w14:val="none"/>
        </w:rPr>
        <w:t>Marc Hillebrecht (Export Manager, Thies CLIMA): "The long-standing cooperation with ÖBB-Infrastruktur AG fills us with pride. Supporting a measurement network over the years, both in terms of technology and service, is a valuable source of feedback for us."</w:t>
      </w:r>
    </w:p>
    <w:p w14:paraId="4021661C" w14:textId="6246F037" w:rsidR="000D691E" w:rsidRDefault="0069378C" w:rsidP="0069378C">
      <w:pPr>
        <w:jc w:val="center"/>
        <w:rPr>
          <w:rFonts w:ascii="Arial" w:hAnsi="Arial" w:cs="Arial"/>
          <w:b/>
          <w:bCs/>
          <w:kern w:val="0"/>
          <w:sz w:val="18"/>
          <w:szCs w:val="18"/>
          <w14:ligatures w14:val="none"/>
        </w:rPr>
      </w:pPr>
      <w:r w:rsidRPr="0069378C">
        <w:rPr>
          <w:rFonts w:ascii="Arial" w:hAnsi="Arial" w:cs="Arial"/>
          <w:b/>
          <w:bCs/>
          <w:kern w:val="0"/>
          <w:sz w:val="18"/>
          <w:szCs w:val="18"/>
          <w14:ligatures w14:val="none"/>
        </w:rPr>
        <w:t>The 10-year partnership between ÖBB-Infrastruktur AG and Thies CLIMA underlines a common business principle: long-term, secure planning and reliable partnership. Sounds old-fashioned - but it is still a promising recipe for successful projects.</w:t>
      </w:r>
    </w:p>
    <w:p w14:paraId="75D5856B" w14:textId="77777777" w:rsidR="0069378C" w:rsidRDefault="0069378C" w:rsidP="00F05B07">
      <w:pPr>
        <w:jc w:val="both"/>
        <w:rPr>
          <w:rFonts w:ascii="Arial" w:hAnsi="Arial" w:cs="Arial"/>
          <w:b/>
          <w:bCs/>
          <w:kern w:val="0"/>
          <w:sz w:val="18"/>
          <w:szCs w:val="18"/>
          <w14:ligatures w14:val="none"/>
        </w:rPr>
      </w:pPr>
    </w:p>
    <w:p w14:paraId="2CDFCC6D" w14:textId="77777777" w:rsidR="0069378C" w:rsidRDefault="0069378C">
      <w:pPr>
        <w:rPr>
          <w:rFonts w:ascii="Arial" w:hAnsi="Arial" w:cs="Arial"/>
          <w:b/>
          <w:bCs/>
          <w:kern w:val="0"/>
          <w:sz w:val="18"/>
          <w:szCs w:val="18"/>
          <w14:ligatures w14:val="none"/>
        </w:rPr>
      </w:pPr>
      <w:r>
        <w:rPr>
          <w:rFonts w:ascii="Arial" w:hAnsi="Arial" w:cs="Arial"/>
          <w:b/>
          <w:bCs/>
          <w:kern w:val="0"/>
          <w:sz w:val="18"/>
          <w:szCs w:val="18"/>
          <w14:ligatures w14:val="none"/>
        </w:rPr>
        <w:br w:type="page"/>
      </w:r>
    </w:p>
    <w:p w14:paraId="4D7F9F30" w14:textId="77777777" w:rsidR="0069378C" w:rsidRPr="0069378C" w:rsidRDefault="0069378C" w:rsidP="0069378C">
      <w:pPr>
        <w:jc w:val="both"/>
        <w:rPr>
          <w:rFonts w:ascii="Arial" w:hAnsi="Arial" w:cs="Arial"/>
          <w:b/>
          <w:bCs/>
          <w:kern w:val="0"/>
          <w:sz w:val="18"/>
          <w:szCs w:val="18"/>
          <w14:ligatures w14:val="none"/>
        </w:rPr>
      </w:pPr>
      <w:r w:rsidRPr="0069378C">
        <w:rPr>
          <w:rFonts w:ascii="Arial" w:hAnsi="Arial" w:cs="Arial"/>
          <w:b/>
          <w:bCs/>
          <w:kern w:val="0"/>
          <w:sz w:val="18"/>
          <w:szCs w:val="18"/>
          <w14:ligatures w14:val="none"/>
        </w:rPr>
        <w:lastRenderedPageBreak/>
        <w:t>In brief:</w:t>
      </w:r>
    </w:p>
    <w:p w14:paraId="340AD4CC" w14:textId="77777777" w:rsidR="0069378C" w:rsidRPr="0069378C" w:rsidRDefault="0069378C" w:rsidP="0069378C">
      <w:pPr>
        <w:jc w:val="both"/>
        <w:rPr>
          <w:rFonts w:ascii="Arial" w:hAnsi="Arial" w:cs="Arial"/>
          <w:b/>
          <w:bCs/>
          <w:kern w:val="0"/>
          <w:sz w:val="18"/>
          <w:szCs w:val="18"/>
          <w14:ligatures w14:val="none"/>
        </w:rPr>
      </w:pPr>
      <w:r w:rsidRPr="0069378C">
        <w:rPr>
          <w:rFonts w:ascii="Arial" w:hAnsi="Arial" w:cs="Arial"/>
          <w:b/>
          <w:bCs/>
          <w:kern w:val="0"/>
          <w:sz w:val="18"/>
          <w:szCs w:val="18"/>
          <w14:ligatures w14:val="none"/>
        </w:rPr>
        <w:t>10 years of partnership between ÖBB and Thies CLIMA: A look back at precision and reliability!</w:t>
      </w:r>
    </w:p>
    <w:p w14:paraId="1E926037" w14:textId="77777777" w:rsidR="0069378C" w:rsidRPr="0069378C" w:rsidRDefault="0069378C" w:rsidP="0069378C">
      <w:pPr>
        <w:jc w:val="both"/>
        <w:rPr>
          <w:rFonts w:ascii="Arial" w:hAnsi="Arial" w:cs="Arial"/>
          <w:kern w:val="0"/>
          <w:sz w:val="18"/>
          <w:szCs w:val="18"/>
          <w14:ligatures w14:val="none"/>
        </w:rPr>
      </w:pPr>
      <w:r w:rsidRPr="0069378C">
        <w:rPr>
          <w:rFonts w:ascii="Arial" w:hAnsi="Arial" w:cs="Arial"/>
          <w:kern w:val="0"/>
          <w:sz w:val="18"/>
          <w:szCs w:val="18"/>
          <w14:ligatures w14:val="none"/>
        </w:rPr>
        <w:t>January, 2024 - Austrian Federal Railways (ÖBB) and Thies CLIMA celebrate 10 years of successful partnership. Together, they have expanded ÖBB-Infrastruktur AG's meteorological measuring network with 33 automatic weather stations, with the latest station being installed at the Semmering Wolfsbergkogel site. The basic weather stations from Thies CLIMA have been helping to detect natural hazards along the rail network at an early stage since 2013. The close cooperation ensures the precision, reliability and robustness of the weather data.</w:t>
      </w:r>
    </w:p>
    <w:p w14:paraId="4B2E78D7" w14:textId="77777777" w:rsidR="0069378C" w:rsidRPr="0069378C" w:rsidRDefault="0069378C" w:rsidP="0069378C">
      <w:pPr>
        <w:jc w:val="both"/>
        <w:rPr>
          <w:rFonts w:ascii="Arial" w:hAnsi="Arial" w:cs="Arial"/>
          <w:kern w:val="0"/>
          <w:sz w:val="18"/>
          <w:szCs w:val="18"/>
          <w14:ligatures w14:val="none"/>
        </w:rPr>
      </w:pPr>
      <w:r w:rsidRPr="0069378C">
        <w:rPr>
          <w:rFonts w:ascii="Arial" w:hAnsi="Arial" w:cs="Arial"/>
          <w:kern w:val="0"/>
          <w:sz w:val="18"/>
          <w:szCs w:val="18"/>
          <w14:ligatures w14:val="none"/>
        </w:rPr>
        <w:t>The partnership emphasizes the business principle of both companies: long-term, safe planning and reliable partnership.</w:t>
      </w:r>
    </w:p>
    <w:p w14:paraId="172C5AA1" w14:textId="42FEFCA1" w:rsidR="00F05B07" w:rsidRDefault="00F05B07" w:rsidP="0069378C">
      <w:pPr>
        <w:jc w:val="both"/>
        <w:rPr>
          <w:rFonts w:ascii="Arial" w:hAnsi="Arial" w:cs="Arial"/>
          <w:kern w:val="0"/>
          <w:sz w:val="18"/>
          <w:szCs w:val="18"/>
          <w14:ligatures w14:val="none"/>
        </w:rPr>
      </w:pPr>
      <w:r w:rsidRPr="00F05B07">
        <w:rPr>
          <w:rFonts w:ascii="Arial" w:hAnsi="Arial" w:cs="Arial"/>
          <w:kern w:val="0"/>
          <w:sz w:val="18"/>
          <w:szCs w:val="18"/>
          <w14:ligatures w14:val="none"/>
        </w:rPr>
        <w:t>#ÖBB #ThiesCLIMA #Partnerschaft #Jubiläum</w:t>
      </w:r>
    </w:p>
    <w:p w14:paraId="1F6249A2" w14:textId="3BB82F57" w:rsidR="00487FEF" w:rsidRDefault="000D2E94" w:rsidP="00F05B07">
      <w:pPr>
        <w:jc w:val="both"/>
        <w:rPr>
          <w:rFonts w:ascii="Arial" w:hAnsi="Arial" w:cs="Arial"/>
          <w:kern w:val="0"/>
          <w:sz w:val="18"/>
          <w:szCs w:val="18"/>
          <w14:ligatures w14:val="none"/>
        </w:rPr>
      </w:pPr>
      <w:r>
        <w:rPr>
          <w:rFonts w:ascii="Arial" w:hAnsi="Arial" w:cs="Arial"/>
          <w:noProof/>
          <w:kern w:val="0"/>
          <w:sz w:val="18"/>
          <w:szCs w:val="18"/>
        </w:rPr>
        <w:drawing>
          <wp:inline distT="0" distB="0" distL="0" distR="0" wp14:anchorId="23FCED3B" wp14:editId="769D55D4">
            <wp:extent cx="2726725" cy="4090989"/>
            <wp:effectExtent l="0" t="0" r="0" b="5080"/>
            <wp:docPr id="14420880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088001" name="Grafik 144208800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28025" cy="4092939"/>
                    </a:xfrm>
                    <a:prstGeom prst="rect">
                      <a:avLst/>
                    </a:prstGeom>
                  </pic:spPr>
                </pic:pic>
              </a:graphicData>
            </a:graphic>
          </wp:inline>
        </w:drawing>
      </w:r>
    </w:p>
    <w:p w14:paraId="1F83AD63" w14:textId="674F2956" w:rsidR="00487FEF" w:rsidRPr="006A73D9" w:rsidRDefault="00487FEF" w:rsidP="00F05B07">
      <w:pPr>
        <w:jc w:val="both"/>
        <w:rPr>
          <w:rFonts w:ascii="Arial" w:hAnsi="Arial" w:cs="Arial"/>
          <w:kern w:val="0"/>
          <w:sz w:val="18"/>
          <w:szCs w:val="18"/>
          <w14:ligatures w14:val="none"/>
        </w:rPr>
      </w:pPr>
    </w:p>
    <w:p w14:paraId="2640FDF1" w14:textId="2405DDAA" w:rsidR="00C75807" w:rsidRPr="00A6661E" w:rsidRDefault="00C75807" w:rsidP="00C75807">
      <w:pPr>
        <w:jc w:val="both"/>
        <w:rPr>
          <w:rFonts w:ascii="Arial" w:hAnsi="Arial" w:cs="Arial"/>
          <w:sz w:val="20"/>
          <w:szCs w:val="20"/>
          <w:lang w:val="en-GB"/>
        </w:rPr>
      </w:pPr>
      <w:r w:rsidRPr="00A6661E">
        <w:rPr>
          <w:rFonts w:ascii="Arial" w:hAnsi="Arial" w:cs="Arial"/>
          <w:sz w:val="20"/>
          <w:szCs w:val="20"/>
          <w:lang w:val="en-GB"/>
        </w:rPr>
        <w:t>------------------------------------------------------------------------------------------------------------------------------------</w:t>
      </w:r>
    </w:p>
    <w:p w14:paraId="1047E3AA" w14:textId="77777777" w:rsidR="00C0436E" w:rsidRDefault="00C0436E">
      <w:pPr>
        <w:rPr>
          <w:rFonts w:ascii="Arial" w:hAnsi="Arial" w:cs="Arial"/>
          <w:b/>
          <w:bCs/>
          <w:sz w:val="20"/>
          <w:szCs w:val="20"/>
          <w:lang w:val="en-GB"/>
        </w:rPr>
      </w:pPr>
      <w:r>
        <w:rPr>
          <w:rFonts w:ascii="Arial" w:hAnsi="Arial" w:cs="Arial"/>
          <w:b/>
          <w:bCs/>
          <w:sz w:val="20"/>
          <w:szCs w:val="20"/>
          <w:lang w:val="en-GB"/>
        </w:rPr>
        <w:br w:type="page"/>
      </w:r>
    </w:p>
    <w:p w14:paraId="1417B3E7" w14:textId="025BA14E" w:rsidR="00C75807" w:rsidRPr="00A6661E" w:rsidRDefault="00C75807" w:rsidP="00C75807">
      <w:pPr>
        <w:spacing w:line="360" w:lineRule="auto"/>
        <w:jc w:val="both"/>
        <w:rPr>
          <w:rFonts w:ascii="Arial" w:hAnsi="Arial" w:cs="Arial"/>
          <w:b/>
          <w:bCs/>
          <w:sz w:val="20"/>
          <w:szCs w:val="20"/>
        </w:rPr>
      </w:pPr>
      <w:r w:rsidRPr="00A6661E">
        <w:rPr>
          <w:rFonts w:ascii="Arial" w:hAnsi="Arial" w:cs="Arial"/>
          <w:b/>
          <w:bCs/>
          <w:sz w:val="20"/>
          <w:szCs w:val="20"/>
          <w:lang w:val="en-GB"/>
        </w:rPr>
        <w:t xml:space="preserve">Footer: Adolf Thies GmbH &amp; Co. </w:t>
      </w:r>
      <w:r w:rsidRPr="00A6661E">
        <w:rPr>
          <w:rFonts w:ascii="Arial" w:hAnsi="Arial" w:cs="Arial"/>
          <w:b/>
          <w:bCs/>
          <w:sz w:val="20"/>
          <w:szCs w:val="20"/>
        </w:rPr>
        <w:t>KG</w:t>
      </w:r>
    </w:p>
    <w:p w14:paraId="7D3060FE" w14:textId="17D0E13F" w:rsidR="00A6661E" w:rsidRPr="00A6661E" w:rsidRDefault="00A6661E" w:rsidP="00A6661E">
      <w:pPr>
        <w:spacing w:line="360" w:lineRule="auto"/>
        <w:jc w:val="both"/>
        <w:rPr>
          <w:rFonts w:ascii="Arial" w:hAnsi="Arial" w:cs="Arial"/>
          <w:b/>
          <w:bCs/>
          <w:sz w:val="20"/>
          <w:szCs w:val="20"/>
          <w:shd w:val="clear" w:color="auto" w:fill="FFFFFF"/>
        </w:rPr>
      </w:pPr>
      <w:r w:rsidRPr="00A6661E">
        <w:rPr>
          <w:rFonts w:ascii="Arial" w:hAnsi="Arial" w:cs="Arial"/>
          <w:b/>
          <w:bCs/>
          <w:sz w:val="20"/>
          <w:szCs w:val="20"/>
          <w:shd w:val="clear" w:color="auto" w:fill="FFFFFF"/>
        </w:rPr>
        <w:t>Thies</w:t>
      </w:r>
      <w:r w:rsidR="00775830">
        <w:rPr>
          <w:rFonts w:ascii="Arial" w:hAnsi="Arial" w:cs="Arial"/>
          <w:b/>
          <w:bCs/>
          <w:sz w:val="20"/>
          <w:szCs w:val="20"/>
          <w:shd w:val="clear" w:color="auto" w:fill="FFFFFF"/>
        </w:rPr>
        <w:t xml:space="preserve"> CLIMA</w:t>
      </w:r>
      <w:r w:rsidRPr="00A6661E">
        <w:rPr>
          <w:rFonts w:ascii="Arial" w:hAnsi="Arial" w:cs="Arial"/>
          <w:b/>
          <w:bCs/>
          <w:sz w:val="20"/>
          <w:szCs w:val="20"/>
          <w:shd w:val="clear" w:color="auto" w:fill="FFFFFF"/>
        </w:rPr>
        <w:t xml:space="preserve"> - 75 Jahre Qualität und Innovation in Göttingen</w:t>
      </w:r>
    </w:p>
    <w:p w14:paraId="72A7038E" w14:textId="77777777" w:rsidR="00671F41" w:rsidRPr="00671F41" w:rsidRDefault="00671F41" w:rsidP="00671F41">
      <w:pPr>
        <w:spacing w:line="360" w:lineRule="auto"/>
        <w:jc w:val="both"/>
        <w:rPr>
          <w:rFonts w:ascii="Arial" w:hAnsi="Arial" w:cs="Arial"/>
          <w:sz w:val="18"/>
          <w:szCs w:val="18"/>
          <w:shd w:val="clear" w:color="auto" w:fill="FFFFFF"/>
        </w:rPr>
      </w:pPr>
      <w:r w:rsidRPr="00671F41">
        <w:rPr>
          <w:rFonts w:ascii="Arial" w:hAnsi="Arial" w:cs="Arial"/>
          <w:sz w:val="18"/>
          <w:szCs w:val="18"/>
          <w:shd w:val="clear" w:color="auto" w:fill="FFFFFF"/>
        </w:rPr>
        <w:t>Thies CLIMA - 75 years of quality and innovation in Göttingen</w:t>
      </w:r>
    </w:p>
    <w:p w14:paraId="4331B291" w14:textId="77777777" w:rsidR="00671F41" w:rsidRDefault="00671F41" w:rsidP="00671F41">
      <w:pPr>
        <w:spacing w:line="360" w:lineRule="auto"/>
        <w:jc w:val="both"/>
        <w:rPr>
          <w:rFonts w:ascii="Arial" w:hAnsi="Arial" w:cs="Arial"/>
          <w:sz w:val="18"/>
          <w:szCs w:val="18"/>
          <w:shd w:val="clear" w:color="auto" w:fill="FFFFFF"/>
        </w:rPr>
      </w:pPr>
      <w:r w:rsidRPr="00671F41">
        <w:rPr>
          <w:rFonts w:ascii="Arial" w:hAnsi="Arial" w:cs="Arial"/>
          <w:sz w:val="18"/>
          <w:szCs w:val="18"/>
          <w:shd w:val="clear" w:color="auto" w:fill="FFFFFF"/>
        </w:rPr>
        <w:t xml:space="preserve">Thies CLIMA is a leading supplier of high-quality measuring instruments and systems for climate and environmental measurement technology. With our location in and around Göttingen, we are in close proximity to science and benefit from an inspiring environment. With over 75 years of experience, a team of 120 dedicated employees and a global network of dealers and partners, we support customers all over the world in precisely and reliably measuring the relevant parameters for climate, weather and air quality. </w:t>
      </w:r>
    </w:p>
    <w:p w14:paraId="7E96D72E" w14:textId="77777777" w:rsidR="00671F41" w:rsidRDefault="00671F41" w:rsidP="00A6661E">
      <w:pPr>
        <w:spacing w:line="360" w:lineRule="auto"/>
        <w:rPr>
          <w:rFonts w:ascii="Arial" w:hAnsi="Arial" w:cs="Arial"/>
          <w:sz w:val="18"/>
          <w:szCs w:val="18"/>
          <w:shd w:val="clear" w:color="auto" w:fill="FFFFFF"/>
        </w:rPr>
      </w:pPr>
      <w:r w:rsidRPr="00671F41">
        <w:rPr>
          <w:rFonts w:ascii="Arial" w:hAnsi="Arial" w:cs="Arial"/>
          <w:sz w:val="18"/>
          <w:szCs w:val="18"/>
          <w:shd w:val="clear" w:color="auto" w:fill="FFFFFF"/>
        </w:rPr>
        <w:t>We offer innovative meteorological and environmental measurement technology for applications in the fields of renewable energies (wind, solar, biomass), industry, tourism, transportation infrastructure and vehicles (land, water, air), agriculture, building control systems, laboratories, institutes for meteorology, climatology and hydrology. As the manufacturer of the certified "First Class" anemometer, Thies CLIMA sets the global standard for wind measurement technology. Our extensive range includes a broad spectrum of sensors, data loggers, software/apps and accessories. We offer our customers not only high-quality products, but also comprehensive technical support, advice and customized solutions. Specialty: anemometry for wind measurement and control of wind turbines, sensors for precipitation, temperature, humidity, solar radiation, air pressure, compact weather stations, data loggers. Our sensors and systems comply with the guidelines of the World Meteorological Organization (WMO) in Geneva, Switzerland and are recognized by international authorities, companies, universities and weather services worldwide.</w:t>
      </w:r>
    </w:p>
    <w:p w14:paraId="21D0651A" w14:textId="04CB0391" w:rsidR="00F175DF" w:rsidRDefault="00671F41" w:rsidP="00A6661E">
      <w:pPr>
        <w:spacing w:line="360" w:lineRule="auto"/>
        <w:rPr>
          <w:rFonts w:ascii="Arial" w:hAnsi="Arial" w:cs="Arial"/>
          <w:sz w:val="18"/>
          <w:szCs w:val="18"/>
          <w:shd w:val="clear" w:color="auto" w:fill="FFFFFF"/>
        </w:rPr>
      </w:pPr>
      <w:r w:rsidRPr="00671F41">
        <w:rPr>
          <w:rFonts w:ascii="Arial" w:hAnsi="Arial" w:cs="Arial"/>
          <w:sz w:val="18"/>
          <w:szCs w:val="18"/>
          <w:shd w:val="clear" w:color="auto" w:fill="FFFFFF"/>
        </w:rPr>
        <w:t>#ThiesClima #ÖBB #</w:t>
      </w:r>
      <w:r w:rsidR="00E01488">
        <w:rPr>
          <w:rFonts w:ascii="Arial" w:hAnsi="Arial" w:cs="Arial"/>
          <w:sz w:val="18"/>
          <w:szCs w:val="18"/>
          <w:shd w:val="clear" w:color="auto" w:fill="FFFFFF"/>
        </w:rPr>
        <w:t>C</w:t>
      </w:r>
      <w:r w:rsidRPr="00671F41">
        <w:rPr>
          <w:rFonts w:ascii="Arial" w:hAnsi="Arial" w:cs="Arial"/>
          <w:sz w:val="18"/>
          <w:szCs w:val="18"/>
          <w:shd w:val="clear" w:color="auto" w:fill="FFFFFF"/>
        </w:rPr>
        <w:t>limate</w:t>
      </w:r>
      <w:r w:rsidR="00E01488">
        <w:rPr>
          <w:rFonts w:ascii="Arial" w:hAnsi="Arial" w:cs="Arial"/>
          <w:sz w:val="18"/>
          <w:szCs w:val="18"/>
          <w:shd w:val="clear" w:color="auto" w:fill="FFFFFF"/>
        </w:rPr>
        <w:t>M</w:t>
      </w:r>
      <w:r w:rsidRPr="00671F41">
        <w:rPr>
          <w:rFonts w:ascii="Arial" w:hAnsi="Arial" w:cs="Arial"/>
          <w:sz w:val="18"/>
          <w:szCs w:val="18"/>
          <w:shd w:val="clear" w:color="auto" w:fill="FFFFFF"/>
        </w:rPr>
        <w:t xml:space="preserve">easurement #meteorology #sensors #WMO </w:t>
      </w:r>
    </w:p>
    <w:sectPr w:rsidR="00F175D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CB8B2" w14:textId="77777777" w:rsidR="00814DB1" w:rsidRDefault="00814DB1" w:rsidP="003F6CA7">
      <w:pPr>
        <w:spacing w:after="0" w:line="240" w:lineRule="auto"/>
      </w:pPr>
      <w:r>
        <w:separator/>
      </w:r>
    </w:p>
  </w:endnote>
  <w:endnote w:type="continuationSeparator" w:id="0">
    <w:p w14:paraId="72AABE91" w14:textId="77777777" w:rsidR="00814DB1" w:rsidRDefault="00814DB1" w:rsidP="003F6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DCDEF" w14:textId="6B207778" w:rsidR="00F4372B" w:rsidRDefault="00F4372B">
    <w:pPr>
      <w:pStyle w:val="Fuzeile"/>
    </w:pPr>
    <w:r>
      <w:rPr>
        <w:noProof/>
      </w:rPr>
      <mc:AlternateContent>
        <mc:Choice Requires="wps">
          <w:drawing>
            <wp:anchor distT="0" distB="0" distL="0" distR="0" simplePos="0" relativeHeight="251660288" behindDoc="0" locked="0" layoutInCell="1" allowOverlap="1" wp14:anchorId="57943153" wp14:editId="493EFCEB">
              <wp:simplePos x="635" y="635"/>
              <wp:positionH relativeFrom="page">
                <wp:align>left</wp:align>
              </wp:positionH>
              <wp:positionV relativeFrom="page">
                <wp:align>bottom</wp:align>
              </wp:positionV>
              <wp:extent cx="443865" cy="443865"/>
              <wp:effectExtent l="0" t="0" r="13335" b="0"/>
              <wp:wrapNone/>
              <wp:docPr id="2" name="Textfeld 2" descr="TLP gelb (Adressatenkrei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CFA2B6" w14:textId="44A21588" w:rsidR="00F4372B" w:rsidRPr="00F4372B" w:rsidRDefault="00F4372B" w:rsidP="00F4372B">
                          <w:pPr>
                            <w:spacing w:after="0"/>
                            <w:rPr>
                              <w:rFonts w:ascii="Calibri" w:eastAsia="Calibri" w:hAnsi="Calibri" w:cs="Calibri"/>
                              <w:noProof/>
                              <w:color w:val="FFC000"/>
                              <w:sz w:val="20"/>
                              <w:szCs w:val="20"/>
                            </w:rPr>
                          </w:pPr>
                          <w:r w:rsidRPr="00F4372B">
                            <w:rPr>
                              <w:rFonts w:ascii="Calibri" w:eastAsia="Calibri" w:hAnsi="Calibri" w:cs="Calibri"/>
                              <w:noProof/>
                              <w:color w:val="FFC000"/>
                              <w:sz w:val="20"/>
                              <w:szCs w:val="20"/>
                            </w:rPr>
                            <w:t>TLP gelb (Adressatenkreis)</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943153" id="_x0000_t202" coordsize="21600,21600" o:spt="202" path="m,l,21600r21600,l21600,xe">
              <v:stroke joinstyle="miter"/>
              <v:path gradientshapeok="t" o:connecttype="rect"/>
            </v:shapetype>
            <v:shape id="Textfeld 2" o:spid="_x0000_s1026" type="#_x0000_t202" alt="TLP gelb (Adressatenkreis)"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CCFA2B6" w14:textId="44A21588" w:rsidR="00F4372B" w:rsidRPr="00F4372B" w:rsidRDefault="00F4372B" w:rsidP="00F4372B">
                    <w:pPr>
                      <w:spacing w:after="0"/>
                      <w:rPr>
                        <w:rFonts w:ascii="Calibri" w:eastAsia="Calibri" w:hAnsi="Calibri" w:cs="Calibri"/>
                        <w:noProof/>
                        <w:color w:val="FFC000"/>
                        <w:sz w:val="20"/>
                        <w:szCs w:val="20"/>
                      </w:rPr>
                    </w:pPr>
                    <w:r w:rsidRPr="00F4372B">
                      <w:rPr>
                        <w:rFonts w:ascii="Calibri" w:eastAsia="Calibri" w:hAnsi="Calibri" w:cs="Calibri"/>
                        <w:noProof/>
                        <w:color w:val="FFC000"/>
                        <w:sz w:val="20"/>
                        <w:szCs w:val="20"/>
                      </w:rPr>
                      <w:t>TLP gelb (Adressatenkreis)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ADD9" w14:textId="74935C8D" w:rsidR="00123BF4" w:rsidRPr="001F0871" w:rsidRDefault="00123BF4" w:rsidP="00123BF4">
    <w:pPr>
      <w:pStyle w:val="Fuzeile"/>
      <w:rPr>
        <w:rFonts w:ascii="Arial" w:hAnsi="Arial" w:cs="Arial"/>
        <w:color w:val="7F7F7F" w:themeColor="text1" w:themeTint="80"/>
        <w:sz w:val="16"/>
        <w:szCs w:val="16"/>
        <w:lang w:val="en-US"/>
      </w:rPr>
    </w:pPr>
    <w:r w:rsidRPr="001F0871">
      <w:rPr>
        <w:rFonts w:ascii="Arial" w:hAnsi="Arial" w:cs="Arial"/>
        <w:color w:val="7F7F7F" w:themeColor="text1" w:themeTint="80"/>
        <w:sz w:val="16"/>
        <w:szCs w:val="16"/>
        <w:lang w:val="en-US"/>
      </w:rPr>
      <w:t>ADOLF THIES GMBH &amp; CO KG</w:t>
    </w:r>
  </w:p>
  <w:p w14:paraId="59A0BEA4" w14:textId="20D97CB3" w:rsidR="00123BF4" w:rsidRPr="001F0871" w:rsidRDefault="00123BF4" w:rsidP="00123BF4">
    <w:pPr>
      <w:pStyle w:val="Fuzeile"/>
      <w:rPr>
        <w:rFonts w:ascii="Arial" w:hAnsi="Arial" w:cs="Arial"/>
        <w:color w:val="ED7D31" w:themeColor="accent2"/>
        <w:sz w:val="16"/>
        <w:szCs w:val="16"/>
        <w:lang w:val="en-US"/>
      </w:rPr>
    </w:pPr>
    <w:r w:rsidRPr="001F0871">
      <w:rPr>
        <w:rFonts w:ascii="Arial" w:hAnsi="Arial" w:cs="Arial"/>
        <w:color w:val="ED7D31" w:themeColor="accent2"/>
        <w:sz w:val="16"/>
        <w:szCs w:val="16"/>
        <w:lang w:val="en-US"/>
      </w:rPr>
      <w:t>Thies Clima - Meteorology and Environmental Technology</w:t>
    </w:r>
  </w:p>
  <w:p w14:paraId="60290AA5" w14:textId="318175D4" w:rsidR="00123BF4" w:rsidRPr="001F0871" w:rsidRDefault="00123BF4" w:rsidP="00123BF4">
    <w:pPr>
      <w:pStyle w:val="Fuzeile"/>
      <w:rPr>
        <w:rFonts w:ascii="Arial" w:hAnsi="Arial" w:cs="Arial"/>
        <w:color w:val="ED7D31" w:themeColor="accent2"/>
        <w:sz w:val="16"/>
        <w:szCs w:val="16"/>
        <w:lang w:val="en-US"/>
      </w:rPr>
    </w:pPr>
    <w:r w:rsidRPr="001F0871">
      <w:rPr>
        <w:rFonts w:ascii="Arial" w:hAnsi="Arial" w:cs="Arial"/>
        <w:color w:val="ED7D31" w:themeColor="accent2"/>
        <w:sz w:val="16"/>
        <w:szCs w:val="16"/>
        <w:lang w:val="en-US"/>
      </w:rPr>
      <w:t>THE WORLD OF WEATHER DATA</w:t>
    </w:r>
  </w:p>
  <w:p w14:paraId="24EA8DFC" w14:textId="77777777" w:rsidR="00123BF4" w:rsidRPr="001F0871" w:rsidRDefault="00123BF4" w:rsidP="00123BF4">
    <w:pPr>
      <w:pStyle w:val="Fuzeile"/>
      <w:rPr>
        <w:rFonts w:ascii="Arial" w:hAnsi="Arial" w:cs="Arial"/>
        <w:color w:val="7F7F7F" w:themeColor="text1" w:themeTint="80"/>
        <w:sz w:val="16"/>
        <w:szCs w:val="16"/>
        <w:lang w:val="en-US"/>
      </w:rPr>
    </w:pPr>
    <w:r w:rsidRPr="001F0871">
      <w:rPr>
        <w:rFonts w:ascii="Arial" w:hAnsi="Arial" w:cs="Arial"/>
        <w:color w:val="7F7F7F" w:themeColor="text1" w:themeTint="80"/>
        <w:sz w:val="16"/>
        <w:szCs w:val="16"/>
        <w:lang w:val="en-US"/>
      </w:rPr>
      <w:t>Box 3536 + 3541 · 37025 Göttingen · Germany</w:t>
    </w:r>
  </w:p>
  <w:p w14:paraId="5555CAB2" w14:textId="77777777" w:rsidR="00123BF4" w:rsidRPr="00285611" w:rsidRDefault="00123BF4" w:rsidP="00123BF4">
    <w:pPr>
      <w:pStyle w:val="Fuzeile"/>
      <w:rPr>
        <w:rFonts w:ascii="Arial" w:hAnsi="Arial" w:cs="Arial"/>
        <w:color w:val="7F7F7F" w:themeColor="text1" w:themeTint="80"/>
        <w:sz w:val="16"/>
        <w:szCs w:val="16"/>
        <w:lang w:val="en-US"/>
      </w:rPr>
    </w:pPr>
    <w:r w:rsidRPr="00285611">
      <w:rPr>
        <w:rFonts w:ascii="Arial" w:hAnsi="Arial" w:cs="Arial"/>
        <w:color w:val="7F7F7F" w:themeColor="text1" w:themeTint="80"/>
        <w:sz w:val="16"/>
        <w:szCs w:val="16"/>
        <w:lang w:val="en-US"/>
      </w:rPr>
      <w:t>Phone +49 551 79001-0 · Fax +49 551 79001-65</w:t>
    </w:r>
  </w:p>
  <w:p w14:paraId="574DF9CF" w14:textId="77777777" w:rsidR="00123BF4" w:rsidRPr="00285611" w:rsidRDefault="00123BF4" w:rsidP="00123BF4">
    <w:pPr>
      <w:pStyle w:val="Fuzeile"/>
      <w:rPr>
        <w:rFonts w:ascii="Arial" w:hAnsi="Arial" w:cs="Arial"/>
        <w:color w:val="7F7F7F" w:themeColor="text1" w:themeTint="80"/>
        <w:sz w:val="16"/>
        <w:szCs w:val="16"/>
        <w:lang w:val="en-US"/>
      </w:rPr>
    </w:pPr>
    <w:r w:rsidRPr="00285611">
      <w:rPr>
        <w:rFonts w:ascii="Arial" w:hAnsi="Arial" w:cs="Arial"/>
        <w:color w:val="7F7F7F" w:themeColor="text1" w:themeTint="80"/>
        <w:sz w:val="16"/>
        <w:szCs w:val="16"/>
        <w:lang w:val="en-US"/>
      </w:rPr>
      <w:t>info@thiesclima.com</w:t>
    </w:r>
  </w:p>
  <w:p w14:paraId="1DF347D2" w14:textId="656FE3E6" w:rsidR="00123BF4" w:rsidRPr="00285611" w:rsidRDefault="00123BF4" w:rsidP="00123BF4">
    <w:pPr>
      <w:pStyle w:val="Fuzeile"/>
      <w:rPr>
        <w:rFonts w:ascii="Arial" w:hAnsi="Arial" w:cs="Arial"/>
        <w:color w:val="ED7D31" w:themeColor="accent2"/>
        <w:sz w:val="16"/>
        <w:szCs w:val="16"/>
        <w:lang w:val="en-US"/>
      </w:rPr>
    </w:pPr>
    <w:r w:rsidRPr="00285611">
      <w:rPr>
        <w:rFonts w:ascii="Arial" w:hAnsi="Arial" w:cs="Arial"/>
        <w:color w:val="ED7D31" w:themeColor="accent2"/>
        <w:sz w:val="16"/>
        <w:szCs w:val="16"/>
        <w:lang w:val="en-US"/>
      </w:rPr>
      <w:t>www.thiesclima.com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D661" w14:textId="3D3D3BE6" w:rsidR="00F4372B" w:rsidRDefault="00F4372B">
    <w:pPr>
      <w:pStyle w:val="Fuzeile"/>
    </w:pPr>
    <w:r>
      <w:rPr>
        <w:noProof/>
      </w:rPr>
      <mc:AlternateContent>
        <mc:Choice Requires="wps">
          <w:drawing>
            <wp:anchor distT="0" distB="0" distL="0" distR="0" simplePos="0" relativeHeight="251659264" behindDoc="0" locked="0" layoutInCell="1" allowOverlap="1" wp14:anchorId="712FAE69" wp14:editId="7C6A4D40">
              <wp:simplePos x="635" y="635"/>
              <wp:positionH relativeFrom="page">
                <wp:align>left</wp:align>
              </wp:positionH>
              <wp:positionV relativeFrom="page">
                <wp:align>bottom</wp:align>
              </wp:positionV>
              <wp:extent cx="443865" cy="443865"/>
              <wp:effectExtent l="0" t="0" r="13335" b="0"/>
              <wp:wrapNone/>
              <wp:docPr id="1" name="Textfeld 1" descr="TLP gelb (Adressatenkrei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2474A7" w14:textId="1B9BEF61" w:rsidR="00F4372B" w:rsidRPr="00F4372B" w:rsidRDefault="00F4372B" w:rsidP="00F4372B">
                          <w:pPr>
                            <w:spacing w:after="0"/>
                            <w:rPr>
                              <w:rFonts w:ascii="Calibri" w:eastAsia="Calibri" w:hAnsi="Calibri" w:cs="Calibri"/>
                              <w:noProof/>
                              <w:color w:val="FFC000"/>
                              <w:sz w:val="20"/>
                              <w:szCs w:val="20"/>
                            </w:rPr>
                          </w:pPr>
                          <w:r w:rsidRPr="00F4372B">
                            <w:rPr>
                              <w:rFonts w:ascii="Calibri" w:eastAsia="Calibri" w:hAnsi="Calibri" w:cs="Calibri"/>
                              <w:noProof/>
                              <w:color w:val="FFC000"/>
                              <w:sz w:val="20"/>
                              <w:szCs w:val="20"/>
                            </w:rPr>
                            <w:t>TLP gelb (Adressatenkreis)</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12FAE69" id="_x0000_t202" coordsize="21600,21600" o:spt="202" path="m,l,21600r21600,l21600,xe">
              <v:stroke joinstyle="miter"/>
              <v:path gradientshapeok="t" o:connecttype="rect"/>
            </v:shapetype>
            <v:shape id="Textfeld 1" o:spid="_x0000_s1027" type="#_x0000_t202" alt="TLP gelb (Adressatenkreis)"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22474A7" w14:textId="1B9BEF61" w:rsidR="00F4372B" w:rsidRPr="00F4372B" w:rsidRDefault="00F4372B" w:rsidP="00F4372B">
                    <w:pPr>
                      <w:spacing w:after="0"/>
                      <w:rPr>
                        <w:rFonts w:ascii="Calibri" w:eastAsia="Calibri" w:hAnsi="Calibri" w:cs="Calibri"/>
                        <w:noProof/>
                        <w:color w:val="FFC000"/>
                        <w:sz w:val="20"/>
                        <w:szCs w:val="20"/>
                      </w:rPr>
                    </w:pPr>
                    <w:r w:rsidRPr="00F4372B">
                      <w:rPr>
                        <w:rFonts w:ascii="Calibri" w:eastAsia="Calibri" w:hAnsi="Calibri" w:cs="Calibri"/>
                        <w:noProof/>
                        <w:color w:val="FFC000"/>
                        <w:sz w:val="20"/>
                        <w:szCs w:val="20"/>
                      </w:rPr>
                      <w:t>TLP gelb (Adressatenkreis)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75EC5" w14:textId="77777777" w:rsidR="00814DB1" w:rsidRDefault="00814DB1" w:rsidP="003F6CA7">
      <w:pPr>
        <w:spacing w:after="0" w:line="240" w:lineRule="auto"/>
      </w:pPr>
      <w:r>
        <w:separator/>
      </w:r>
    </w:p>
  </w:footnote>
  <w:footnote w:type="continuationSeparator" w:id="0">
    <w:p w14:paraId="1DCCA2BB" w14:textId="77777777" w:rsidR="00814DB1" w:rsidRDefault="00814DB1" w:rsidP="003F6C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33F9" w14:textId="77777777" w:rsidR="006A6A31" w:rsidRDefault="006A6A3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A9C02" w14:textId="121C37AB" w:rsidR="003F6CA7" w:rsidRDefault="003F6CA7">
    <w:pPr>
      <w:pStyle w:val="Kopfzeile"/>
    </w:pPr>
    <w:r>
      <w:rPr>
        <w:noProof/>
      </w:rPr>
      <w:drawing>
        <wp:anchor distT="0" distB="0" distL="114300" distR="114300" simplePos="0" relativeHeight="251658240" behindDoc="0" locked="0" layoutInCell="1" allowOverlap="1" wp14:anchorId="5F90454E" wp14:editId="3CE36126">
          <wp:simplePos x="0" y="0"/>
          <wp:positionH relativeFrom="column">
            <wp:posOffset>5215255</wp:posOffset>
          </wp:positionH>
          <wp:positionV relativeFrom="paragraph">
            <wp:posOffset>-135255</wp:posOffset>
          </wp:positionV>
          <wp:extent cx="575945" cy="570007"/>
          <wp:effectExtent l="0" t="0" r="0" b="1905"/>
          <wp:wrapSquare wrapText="bothSides"/>
          <wp:docPr id="1747968184" name="Grafik 1" descr="Ein Bild, das Text, Schrift, Poster,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968184" name="Grafik 1" descr="Ein Bild, das Text, Schrift, Poster,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5945" cy="57000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A46D" w14:textId="77777777" w:rsidR="006A6A31" w:rsidRDefault="006A6A3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M0Nja2MDY1Njc3NzZX0lEKTi0uzszPAykwrAUAC9hJ2CwAAAA="/>
    <w:docVar w:name="dgnword-docGUID" w:val="{CD0B21A9-7700-42A1-86DB-C87FACBF3FFB}"/>
    <w:docVar w:name="dgnword-eventsink" w:val="2101873169120"/>
    <w:docVar w:name="dgnword-lastRevisionsView" w:val="0"/>
  </w:docVars>
  <w:rsids>
    <w:rsidRoot w:val="00B64AAC"/>
    <w:rsid w:val="00023644"/>
    <w:rsid w:val="00024F4F"/>
    <w:rsid w:val="00042C90"/>
    <w:rsid w:val="000A3A82"/>
    <w:rsid w:val="000D2E94"/>
    <w:rsid w:val="000D492F"/>
    <w:rsid w:val="000D691E"/>
    <w:rsid w:val="000F2F04"/>
    <w:rsid w:val="00123BF4"/>
    <w:rsid w:val="00125A80"/>
    <w:rsid w:val="001265A0"/>
    <w:rsid w:val="00136E76"/>
    <w:rsid w:val="001418FC"/>
    <w:rsid w:val="00176AA5"/>
    <w:rsid w:val="0017777C"/>
    <w:rsid w:val="001811E6"/>
    <w:rsid w:val="0018528E"/>
    <w:rsid w:val="001A0359"/>
    <w:rsid w:val="001D2D83"/>
    <w:rsid w:val="001F0871"/>
    <w:rsid w:val="002241F5"/>
    <w:rsid w:val="00244F41"/>
    <w:rsid w:val="00257D6F"/>
    <w:rsid w:val="00285611"/>
    <w:rsid w:val="002B107C"/>
    <w:rsid w:val="002B65D7"/>
    <w:rsid w:val="002C62D1"/>
    <w:rsid w:val="0032177B"/>
    <w:rsid w:val="003A10DF"/>
    <w:rsid w:val="003B50EA"/>
    <w:rsid w:val="003F6CA7"/>
    <w:rsid w:val="00435540"/>
    <w:rsid w:val="00466A67"/>
    <w:rsid w:val="004747E4"/>
    <w:rsid w:val="00487FEF"/>
    <w:rsid w:val="0049778D"/>
    <w:rsid w:val="004B17B4"/>
    <w:rsid w:val="004C32DD"/>
    <w:rsid w:val="00530374"/>
    <w:rsid w:val="00563C0F"/>
    <w:rsid w:val="005904F2"/>
    <w:rsid w:val="005A51EB"/>
    <w:rsid w:val="005C2186"/>
    <w:rsid w:val="006260F9"/>
    <w:rsid w:val="00631C76"/>
    <w:rsid w:val="0064083E"/>
    <w:rsid w:val="006662AA"/>
    <w:rsid w:val="00671F41"/>
    <w:rsid w:val="0069378C"/>
    <w:rsid w:val="00697F33"/>
    <w:rsid w:val="006A6A31"/>
    <w:rsid w:val="006A73D9"/>
    <w:rsid w:val="006B415F"/>
    <w:rsid w:val="006F1E18"/>
    <w:rsid w:val="00710F66"/>
    <w:rsid w:val="00733970"/>
    <w:rsid w:val="00752CE5"/>
    <w:rsid w:val="0077506D"/>
    <w:rsid w:val="00775830"/>
    <w:rsid w:val="00794248"/>
    <w:rsid w:val="00795C72"/>
    <w:rsid w:val="007C0127"/>
    <w:rsid w:val="007D6230"/>
    <w:rsid w:val="007D733E"/>
    <w:rsid w:val="007E0ADC"/>
    <w:rsid w:val="007F7D3D"/>
    <w:rsid w:val="0080108A"/>
    <w:rsid w:val="00814DB1"/>
    <w:rsid w:val="00834DB6"/>
    <w:rsid w:val="00887EBC"/>
    <w:rsid w:val="0089218D"/>
    <w:rsid w:val="00897CDD"/>
    <w:rsid w:val="008D795A"/>
    <w:rsid w:val="008E0B82"/>
    <w:rsid w:val="008E2A0D"/>
    <w:rsid w:val="00904B3E"/>
    <w:rsid w:val="00912745"/>
    <w:rsid w:val="00930229"/>
    <w:rsid w:val="00931538"/>
    <w:rsid w:val="00971697"/>
    <w:rsid w:val="00984D1A"/>
    <w:rsid w:val="00991D3C"/>
    <w:rsid w:val="009A3047"/>
    <w:rsid w:val="009C2205"/>
    <w:rsid w:val="009E4C5C"/>
    <w:rsid w:val="00A05ACF"/>
    <w:rsid w:val="00A34184"/>
    <w:rsid w:val="00A44035"/>
    <w:rsid w:val="00A526CC"/>
    <w:rsid w:val="00A55BEA"/>
    <w:rsid w:val="00A6661E"/>
    <w:rsid w:val="00A87CBB"/>
    <w:rsid w:val="00AC336F"/>
    <w:rsid w:val="00B27338"/>
    <w:rsid w:val="00B32462"/>
    <w:rsid w:val="00B41881"/>
    <w:rsid w:val="00B55B19"/>
    <w:rsid w:val="00B56A0A"/>
    <w:rsid w:val="00B64AAC"/>
    <w:rsid w:val="00BD007D"/>
    <w:rsid w:val="00C0436E"/>
    <w:rsid w:val="00C33A6E"/>
    <w:rsid w:val="00C5465C"/>
    <w:rsid w:val="00C57560"/>
    <w:rsid w:val="00C74237"/>
    <w:rsid w:val="00C75807"/>
    <w:rsid w:val="00C8215A"/>
    <w:rsid w:val="00D06D1B"/>
    <w:rsid w:val="00D16CA1"/>
    <w:rsid w:val="00D35BED"/>
    <w:rsid w:val="00D50C16"/>
    <w:rsid w:val="00D52B62"/>
    <w:rsid w:val="00D53F26"/>
    <w:rsid w:val="00D54F16"/>
    <w:rsid w:val="00D808D4"/>
    <w:rsid w:val="00D8405C"/>
    <w:rsid w:val="00DA799B"/>
    <w:rsid w:val="00DC61A6"/>
    <w:rsid w:val="00DE29AA"/>
    <w:rsid w:val="00DF02B9"/>
    <w:rsid w:val="00DF5554"/>
    <w:rsid w:val="00E01488"/>
    <w:rsid w:val="00E04D7C"/>
    <w:rsid w:val="00E45370"/>
    <w:rsid w:val="00E52E52"/>
    <w:rsid w:val="00E63617"/>
    <w:rsid w:val="00E77A54"/>
    <w:rsid w:val="00E872D6"/>
    <w:rsid w:val="00E87A0F"/>
    <w:rsid w:val="00EE758E"/>
    <w:rsid w:val="00F05B07"/>
    <w:rsid w:val="00F175DF"/>
    <w:rsid w:val="00F20614"/>
    <w:rsid w:val="00F40A61"/>
    <w:rsid w:val="00F4372B"/>
    <w:rsid w:val="00F47FF6"/>
    <w:rsid w:val="00F53B36"/>
    <w:rsid w:val="00F73A51"/>
    <w:rsid w:val="00F814EC"/>
    <w:rsid w:val="00F85007"/>
    <w:rsid w:val="00F957E2"/>
    <w:rsid w:val="00FA3095"/>
    <w:rsid w:val="00FA35A2"/>
    <w:rsid w:val="00FE42B6"/>
    <w:rsid w:val="00FE664A"/>
    <w:rsid w:val="00FF2F10"/>
    <w:rsid w:val="00FF358C"/>
    <w:rsid w:val="00FF789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DD39"/>
  <w15:chartTrackingRefBased/>
  <w15:docId w15:val="{C55CE17A-AAB0-473D-8A01-453853A8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2A0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BD007D"/>
    <w:pPr>
      <w:spacing w:after="0" w:line="240" w:lineRule="auto"/>
    </w:pPr>
  </w:style>
  <w:style w:type="character" w:styleId="Kommentarzeichen">
    <w:name w:val="annotation reference"/>
    <w:basedOn w:val="Absatz-Standardschriftart"/>
    <w:uiPriority w:val="99"/>
    <w:semiHidden/>
    <w:unhideWhenUsed/>
    <w:rsid w:val="00E63617"/>
    <w:rPr>
      <w:sz w:val="16"/>
      <w:szCs w:val="16"/>
    </w:rPr>
  </w:style>
  <w:style w:type="paragraph" w:styleId="Kommentartext">
    <w:name w:val="annotation text"/>
    <w:basedOn w:val="Standard"/>
    <w:link w:val="KommentartextZchn"/>
    <w:uiPriority w:val="99"/>
    <w:unhideWhenUsed/>
    <w:rsid w:val="00E63617"/>
    <w:pPr>
      <w:spacing w:line="240" w:lineRule="auto"/>
    </w:pPr>
    <w:rPr>
      <w:sz w:val="20"/>
      <w:szCs w:val="20"/>
    </w:rPr>
  </w:style>
  <w:style w:type="character" w:customStyle="1" w:styleId="KommentartextZchn">
    <w:name w:val="Kommentartext Zchn"/>
    <w:basedOn w:val="Absatz-Standardschriftart"/>
    <w:link w:val="Kommentartext"/>
    <w:uiPriority w:val="99"/>
    <w:rsid w:val="00E63617"/>
    <w:rPr>
      <w:sz w:val="20"/>
      <w:szCs w:val="20"/>
    </w:rPr>
  </w:style>
  <w:style w:type="paragraph" w:styleId="Kommentarthema">
    <w:name w:val="annotation subject"/>
    <w:basedOn w:val="Kommentartext"/>
    <w:next w:val="Kommentartext"/>
    <w:link w:val="KommentarthemaZchn"/>
    <w:uiPriority w:val="99"/>
    <w:semiHidden/>
    <w:unhideWhenUsed/>
    <w:rsid w:val="00E63617"/>
    <w:rPr>
      <w:b/>
      <w:bCs/>
    </w:rPr>
  </w:style>
  <w:style w:type="character" w:customStyle="1" w:styleId="KommentarthemaZchn">
    <w:name w:val="Kommentarthema Zchn"/>
    <w:basedOn w:val="KommentartextZchn"/>
    <w:link w:val="Kommentarthema"/>
    <w:uiPriority w:val="99"/>
    <w:semiHidden/>
    <w:rsid w:val="00E63617"/>
    <w:rPr>
      <w:b/>
      <w:bCs/>
      <w:sz w:val="20"/>
      <w:szCs w:val="20"/>
    </w:rPr>
  </w:style>
  <w:style w:type="character" w:styleId="Hyperlink">
    <w:name w:val="Hyperlink"/>
    <w:basedOn w:val="Absatz-Standardschriftart"/>
    <w:uiPriority w:val="99"/>
    <w:unhideWhenUsed/>
    <w:rsid w:val="008E0B82"/>
    <w:rPr>
      <w:color w:val="0563C1" w:themeColor="hyperlink"/>
      <w:u w:val="single"/>
    </w:rPr>
  </w:style>
  <w:style w:type="character" w:styleId="NichtaufgelsteErwhnung">
    <w:name w:val="Unresolved Mention"/>
    <w:basedOn w:val="Absatz-Standardschriftart"/>
    <w:uiPriority w:val="99"/>
    <w:semiHidden/>
    <w:unhideWhenUsed/>
    <w:rsid w:val="008E0B82"/>
    <w:rPr>
      <w:color w:val="605E5C"/>
      <w:shd w:val="clear" w:color="auto" w:fill="E1DFDD"/>
    </w:rPr>
  </w:style>
  <w:style w:type="paragraph" w:styleId="NurText">
    <w:name w:val="Plain Text"/>
    <w:basedOn w:val="Standard"/>
    <w:link w:val="NurTextZchn"/>
    <w:uiPriority w:val="99"/>
    <w:unhideWhenUsed/>
    <w:rsid w:val="00FF789B"/>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FF789B"/>
    <w:rPr>
      <w:rFonts w:ascii="Calibri" w:hAnsi="Calibri"/>
      <w:szCs w:val="21"/>
    </w:rPr>
  </w:style>
  <w:style w:type="paragraph" w:styleId="Kopfzeile">
    <w:name w:val="header"/>
    <w:basedOn w:val="Standard"/>
    <w:link w:val="KopfzeileZchn"/>
    <w:uiPriority w:val="99"/>
    <w:unhideWhenUsed/>
    <w:rsid w:val="003F6C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F6CA7"/>
  </w:style>
  <w:style w:type="paragraph" w:styleId="Fuzeile">
    <w:name w:val="footer"/>
    <w:basedOn w:val="Standard"/>
    <w:link w:val="FuzeileZchn"/>
    <w:uiPriority w:val="99"/>
    <w:unhideWhenUsed/>
    <w:rsid w:val="003F6C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F6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643015">
      <w:bodyDiv w:val="1"/>
      <w:marLeft w:val="0"/>
      <w:marRight w:val="0"/>
      <w:marTop w:val="0"/>
      <w:marBottom w:val="0"/>
      <w:divBdr>
        <w:top w:val="none" w:sz="0" w:space="0" w:color="auto"/>
        <w:left w:val="none" w:sz="0" w:space="0" w:color="auto"/>
        <w:bottom w:val="none" w:sz="0" w:space="0" w:color="auto"/>
        <w:right w:val="none" w:sz="0" w:space="0" w:color="auto"/>
      </w:divBdr>
    </w:div>
    <w:div w:id="566765395">
      <w:bodyDiv w:val="1"/>
      <w:marLeft w:val="0"/>
      <w:marRight w:val="0"/>
      <w:marTop w:val="0"/>
      <w:marBottom w:val="0"/>
      <w:divBdr>
        <w:top w:val="none" w:sz="0" w:space="0" w:color="auto"/>
        <w:left w:val="none" w:sz="0" w:space="0" w:color="auto"/>
        <w:bottom w:val="none" w:sz="0" w:space="0" w:color="auto"/>
        <w:right w:val="none" w:sz="0" w:space="0" w:color="auto"/>
      </w:divBdr>
    </w:div>
    <w:div w:id="661664400">
      <w:bodyDiv w:val="1"/>
      <w:marLeft w:val="0"/>
      <w:marRight w:val="0"/>
      <w:marTop w:val="0"/>
      <w:marBottom w:val="0"/>
      <w:divBdr>
        <w:top w:val="none" w:sz="0" w:space="0" w:color="auto"/>
        <w:left w:val="none" w:sz="0" w:space="0" w:color="auto"/>
        <w:bottom w:val="none" w:sz="0" w:space="0" w:color="auto"/>
        <w:right w:val="none" w:sz="0" w:space="0" w:color="auto"/>
      </w:divBdr>
    </w:div>
    <w:div w:id="1029526490">
      <w:bodyDiv w:val="1"/>
      <w:marLeft w:val="0"/>
      <w:marRight w:val="0"/>
      <w:marTop w:val="0"/>
      <w:marBottom w:val="0"/>
      <w:divBdr>
        <w:top w:val="none" w:sz="0" w:space="0" w:color="auto"/>
        <w:left w:val="none" w:sz="0" w:space="0" w:color="auto"/>
        <w:bottom w:val="none" w:sz="0" w:space="0" w:color="auto"/>
        <w:right w:val="none" w:sz="0" w:space="0" w:color="auto"/>
      </w:divBdr>
    </w:div>
    <w:div w:id="1177816571">
      <w:bodyDiv w:val="1"/>
      <w:marLeft w:val="0"/>
      <w:marRight w:val="0"/>
      <w:marTop w:val="0"/>
      <w:marBottom w:val="0"/>
      <w:divBdr>
        <w:top w:val="none" w:sz="0" w:space="0" w:color="auto"/>
        <w:left w:val="none" w:sz="0" w:space="0" w:color="auto"/>
        <w:bottom w:val="none" w:sz="0" w:space="0" w:color="auto"/>
        <w:right w:val="none" w:sz="0" w:space="0" w:color="auto"/>
      </w:divBdr>
    </w:div>
    <w:div w:id="1352992257">
      <w:bodyDiv w:val="1"/>
      <w:marLeft w:val="0"/>
      <w:marRight w:val="0"/>
      <w:marTop w:val="0"/>
      <w:marBottom w:val="0"/>
      <w:divBdr>
        <w:top w:val="none" w:sz="0" w:space="0" w:color="auto"/>
        <w:left w:val="none" w:sz="0" w:space="0" w:color="auto"/>
        <w:bottom w:val="none" w:sz="0" w:space="0" w:color="auto"/>
        <w:right w:val="none" w:sz="0" w:space="0" w:color="auto"/>
      </w:divBdr>
    </w:div>
    <w:div w:id="1386375939">
      <w:bodyDiv w:val="1"/>
      <w:marLeft w:val="0"/>
      <w:marRight w:val="0"/>
      <w:marTop w:val="0"/>
      <w:marBottom w:val="0"/>
      <w:divBdr>
        <w:top w:val="none" w:sz="0" w:space="0" w:color="auto"/>
        <w:left w:val="none" w:sz="0" w:space="0" w:color="auto"/>
        <w:bottom w:val="none" w:sz="0" w:space="0" w:color="auto"/>
        <w:right w:val="none" w:sz="0" w:space="0" w:color="auto"/>
      </w:divBdr>
    </w:div>
    <w:div w:id="1394693958">
      <w:bodyDiv w:val="1"/>
      <w:marLeft w:val="0"/>
      <w:marRight w:val="0"/>
      <w:marTop w:val="0"/>
      <w:marBottom w:val="0"/>
      <w:divBdr>
        <w:top w:val="none" w:sz="0" w:space="0" w:color="auto"/>
        <w:left w:val="none" w:sz="0" w:space="0" w:color="auto"/>
        <w:bottom w:val="none" w:sz="0" w:space="0" w:color="auto"/>
        <w:right w:val="none" w:sz="0" w:space="0" w:color="auto"/>
      </w:divBdr>
    </w:div>
    <w:div w:id="1442603950">
      <w:bodyDiv w:val="1"/>
      <w:marLeft w:val="0"/>
      <w:marRight w:val="0"/>
      <w:marTop w:val="0"/>
      <w:marBottom w:val="0"/>
      <w:divBdr>
        <w:top w:val="none" w:sz="0" w:space="0" w:color="auto"/>
        <w:left w:val="none" w:sz="0" w:space="0" w:color="auto"/>
        <w:bottom w:val="none" w:sz="0" w:space="0" w:color="auto"/>
        <w:right w:val="none" w:sz="0" w:space="0" w:color="auto"/>
      </w:divBdr>
    </w:div>
    <w:div w:id="1771511196">
      <w:bodyDiv w:val="1"/>
      <w:marLeft w:val="0"/>
      <w:marRight w:val="0"/>
      <w:marTop w:val="0"/>
      <w:marBottom w:val="0"/>
      <w:divBdr>
        <w:top w:val="none" w:sz="0" w:space="0" w:color="auto"/>
        <w:left w:val="none" w:sz="0" w:space="0" w:color="auto"/>
        <w:bottom w:val="none" w:sz="0" w:space="0" w:color="auto"/>
        <w:right w:val="none" w:sz="0" w:space="0" w:color="auto"/>
      </w:divBdr>
    </w:div>
    <w:div w:id="1835878071">
      <w:bodyDiv w:val="1"/>
      <w:marLeft w:val="0"/>
      <w:marRight w:val="0"/>
      <w:marTop w:val="0"/>
      <w:marBottom w:val="0"/>
      <w:divBdr>
        <w:top w:val="none" w:sz="0" w:space="0" w:color="auto"/>
        <w:left w:val="none" w:sz="0" w:space="0" w:color="auto"/>
        <w:bottom w:val="none" w:sz="0" w:space="0" w:color="auto"/>
        <w:right w:val="none" w:sz="0" w:space="0" w:color="auto"/>
      </w:divBdr>
    </w:div>
    <w:div w:id="190109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E8114-E9AE-4193-A20E-3691C52CFFBE}">
  <ds:schemaRefs>
    <ds:schemaRef ds:uri="http://schemas.openxmlformats.org/officeDocument/2006/bibliography"/>
  </ds:schemaRefs>
</ds:datastoreItem>
</file>

<file path=docMetadata/LabelInfo.xml><?xml version="1.0" encoding="utf-8"?>
<clbl:labelList xmlns:clbl="http://schemas.microsoft.com/office/2020/mipLabelMetadata">
  <clbl:label id="{0cda0c22-3e77-43b9-8faf-0bad2baf7893}" enabled="1" method="Standard" siteId="{085c0b65-6a84-4006-851e-5faa7ec5367e}"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906</Words>
  <Characters>5713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Vogel, Katrin</dc:creator>
  <cp:keywords/>
  <dc:description/>
  <cp:lastModifiedBy>Thies.O035@outlook.de</cp:lastModifiedBy>
  <cp:revision>6</cp:revision>
  <dcterms:created xsi:type="dcterms:W3CDTF">2024-02-06T10:33:00Z</dcterms:created>
  <dcterms:modified xsi:type="dcterms:W3CDTF">2024-02-06T10:46:00Z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#ffc000,10,Calibri</vt:lpwstr>
  </property>
  <property fmtid="{D5CDD505-2E9C-101B-9397-08002B2CF9AE}" pid="4" name="ClassificationContentMarkingFooterText">
    <vt:lpwstr>TLP gelb (Adressatenkreis)</vt:lpwstr>
  </property>
  <property fmtid="{D5CDD505-2E9C-101B-9397-08002B2CF9AE}" pid="5" name="MSIP_Label_0cda0c22-3e77-43b9-8faf-0bad2baf7893_Enabled">
    <vt:lpwstr>true</vt:lpwstr>
  </property>
  <property fmtid="{D5CDD505-2E9C-101B-9397-08002B2CF9AE}" pid="6" name="MSIP_Label_0cda0c22-3e77-43b9-8faf-0bad2baf7893_SetDate">
    <vt:lpwstr>2023-11-20T06:45:43Z</vt:lpwstr>
  </property>
  <property fmtid="{D5CDD505-2E9C-101B-9397-08002B2CF9AE}" pid="7" name="MSIP_Label_0cda0c22-3e77-43b9-8faf-0bad2baf7893_Method">
    <vt:lpwstr>Standard</vt:lpwstr>
  </property>
  <property fmtid="{D5CDD505-2E9C-101B-9397-08002B2CF9AE}" pid="8" name="MSIP_Label_0cda0c22-3e77-43b9-8faf-0bad2baf7893_Name">
    <vt:lpwstr>TLP gelb</vt:lpwstr>
  </property>
  <property fmtid="{D5CDD505-2E9C-101B-9397-08002B2CF9AE}" pid="9" name="MSIP_Label_0cda0c22-3e77-43b9-8faf-0bad2baf7893_SiteId">
    <vt:lpwstr>085c0b65-6a84-4006-851e-5faa7ec5367e</vt:lpwstr>
  </property>
  <property fmtid="{D5CDD505-2E9C-101B-9397-08002B2CF9AE}" pid="10" name="MSIP_Label_0cda0c22-3e77-43b9-8faf-0bad2baf7893_ActionId">
    <vt:lpwstr>ffc8ba78-15f0-4765-b490-0e682cc02f72</vt:lpwstr>
  </property>
  <property fmtid="{D5CDD505-2E9C-101B-9397-08002B2CF9AE}" pid="11" name="MSIP_Label_0cda0c22-3e77-43b9-8faf-0bad2baf7893_ContentBits">
    <vt:lpwstr>2</vt:lpwstr>
  </property>
</Properties>
</file>